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18FC1" w14:textId="77777777" w:rsidR="00B44F3E" w:rsidRPr="005F0AA8" w:rsidRDefault="00B44F3E" w:rsidP="0021094A">
      <w:r w:rsidRPr="005F0AA8">
        <w:rPr>
          <w:rFonts w:ascii="Arial" w:hAnsi="Arial"/>
          <w:noProof/>
          <w:sz w:val="24"/>
          <w:szCs w:val="24"/>
          <w:lang w:val="hr-HR"/>
        </w:rPr>
        <w:drawing>
          <wp:anchor distT="0" distB="0" distL="114300" distR="114300" simplePos="0" relativeHeight="251659264" behindDoc="0" locked="0" layoutInCell="1" allowOverlap="1" wp14:anchorId="0DA5C076" wp14:editId="2AD52FFB">
            <wp:simplePos x="0" y="0"/>
            <wp:positionH relativeFrom="column">
              <wp:posOffset>1075055</wp:posOffset>
            </wp:positionH>
            <wp:positionV relativeFrom="paragraph">
              <wp:posOffset>-149225</wp:posOffset>
            </wp:positionV>
            <wp:extent cx="568960" cy="731520"/>
            <wp:effectExtent l="0" t="0" r="2540" b="0"/>
            <wp:wrapTopAndBottom/>
            <wp:docPr id="1" name="Slika 1" descr="_gup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gupDocumen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315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tblGrid>
      <w:tr w:rsidR="005F0AA8" w:rsidRPr="005F0AA8" w14:paraId="5CE4B28D" w14:textId="77777777" w:rsidTr="00173610">
        <w:tc>
          <w:tcPr>
            <w:tcW w:w="4503" w:type="dxa"/>
            <w:tcBorders>
              <w:top w:val="nil"/>
              <w:left w:val="nil"/>
              <w:bottom w:val="nil"/>
              <w:right w:val="nil"/>
            </w:tcBorders>
          </w:tcPr>
          <w:p w14:paraId="7C04BD72" w14:textId="77777777" w:rsidR="00B44F3E" w:rsidRPr="005F0AA8" w:rsidRDefault="00B44F3E" w:rsidP="00173610">
            <w:pPr>
              <w:jc w:val="center"/>
              <w:rPr>
                <w:rFonts w:ascii="Arial" w:hAnsi="Arial"/>
                <w:b/>
                <w:sz w:val="24"/>
                <w:szCs w:val="24"/>
                <w:lang w:val="hr-HR"/>
              </w:rPr>
            </w:pPr>
            <w:r w:rsidRPr="005F0AA8">
              <w:rPr>
                <w:rFonts w:ascii="Arial" w:hAnsi="Arial"/>
                <w:b/>
                <w:sz w:val="24"/>
                <w:szCs w:val="24"/>
                <w:lang w:val="hr-HR"/>
              </w:rPr>
              <w:t>REPUBLIKA HRVATSKA</w:t>
            </w:r>
          </w:p>
        </w:tc>
      </w:tr>
      <w:tr w:rsidR="005F0AA8" w:rsidRPr="005F0AA8" w14:paraId="19C80447" w14:textId="77777777" w:rsidTr="00173610">
        <w:tc>
          <w:tcPr>
            <w:tcW w:w="4503" w:type="dxa"/>
            <w:tcBorders>
              <w:top w:val="nil"/>
              <w:left w:val="nil"/>
              <w:bottom w:val="nil"/>
              <w:right w:val="nil"/>
            </w:tcBorders>
          </w:tcPr>
          <w:p w14:paraId="4CA2BA0B" w14:textId="77777777" w:rsidR="00B44F3E" w:rsidRPr="005F0AA8" w:rsidRDefault="00B44F3E" w:rsidP="00173610">
            <w:pPr>
              <w:jc w:val="center"/>
              <w:rPr>
                <w:rFonts w:ascii="Arial" w:hAnsi="Arial"/>
                <w:b/>
                <w:sz w:val="24"/>
                <w:szCs w:val="24"/>
                <w:lang w:val="hr-HR"/>
              </w:rPr>
            </w:pPr>
            <w:r w:rsidRPr="005F0AA8">
              <w:rPr>
                <w:rFonts w:ascii="Arial" w:hAnsi="Arial"/>
                <w:b/>
                <w:sz w:val="24"/>
                <w:szCs w:val="24"/>
                <w:lang w:val="hr-HR"/>
              </w:rPr>
              <w:t>PRIMORSKO-GORANSKA ŽUPANIJA</w:t>
            </w:r>
          </w:p>
        </w:tc>
      </w:tr>
      <w:tr w:rsidR="005F0AA8" w:rsidRPr="005F0AA8" w14:paraId="4DF6ADB0" w14:textId="77777777" w:rsidTr="00173610">
        <w:tc>
          <w:tcPr>
            <w:tcW w:w="4503" w:type="dxa"/>
            <w:tcBorders>
              <w:top w:val="nil"/>
              <w:left w:val="nil"/>
              <w:bottom w:val="nil"/>
              <w:right w:val="nil"/>
            </w:tcBorders>
          </w:tcPr>
          <w:p w14:paraId="2958C7D3" w14:textId="77777777" w:rsidR="00B44F3E" w:rsidRPr="005F0AA8" w:rsidRDefault="00B44F3E" w:rsidP="00173610">
            <w:pPr>
              <w:pStyle w:val="Naslov1"/>
              <w:rPr>
                <w:rFonts w:ascii="Arial" w:hAnsi="Arial"/>
                <w:color w:val="auto"/>
                <w:sz w:val="24"/>
                <w:szCs w:val="24"/>
                <w:lang w:val="hr-HR"/>
              </w:rPr>
            </w:pPr>
            <w:r w:rsidRPr="005F0AA8">
              <w:rPr>
                <w:rFonts w:ascii="Arial" w:hAnsi="Arial"/>
                <w:color w:val="auto"/>
                <w:sz w:val="24"/>
                <w:szCs w:val="24"/>
                <w:lang w:val="hr-HR"/>
              </w:rPr>
              <w:t>GRAD KRALJEVICA</w:t>
            </w:r>
          </w:p>
        </w:tc>
      </w:tr>
      <w:tr w:rsidR="00B44F3E" w:rsidRPr="005F0AA8" w14:paraId="31DFB29F" w14:textId="77777777" w:rsidTr="00173610">
        <w:tc>
          <w:tcPr>
            <w:tcW w:w="4503" w:type="dxa"/>
            <w:tcBorders>
              <w:top w:val="nil"/>
              <w:left w:val="nil"/>
              <w:bottom w:val="nil"/>
              <w:right w:val="nil"/>
            </w:tcBorders>
          </w:tcPr>
          <w:p w14:paraId="0B721015" w14:textId="77777777" w:rsidR="00B44F3E" w:rsidRPr="004E4B06" w:rsidRDefault="00B44F3E" w:rsidP="00173610">
            <w:pPr>
              <w:pStyle w:val="Naslov1"/>
              <w:rPr>
                <w:rFonts w:ascii="Arial" w:hAnsi="Arial"/>
                <w:b w:val="0"/>
                <w:color w:val="auto"/>
                <w:sz w:val="24"/>
                <w:szCs w:val="24"/>
                <w:lang w:val="hr-HR"/>
              </w:rPr>
            </w:pPr>
            <w:r w:rsidRPr="004E4B06">
              <w:rPr>
                <w:rFonts w:ascii="Arial" w:hAnsi="Arial"/>
                <w:b w:val="0"/>
                <w:color w:val="auto"/>
                <w:sz w:val="24"/>
                <w:szCs w:val="24"/>
                <w:lang w:val="hr-HR"/>
              </w:rPr>
              <w:t>Gradonačelnik</w:t>
            </w:r>
          </w:p>
        </w:tc>
      </w:tr>
    </w:tbl>
    <w:p w14:paraId="6DD4520E" w14:textId="77777777" w:rsidR="0021094A" w:rsidRPr="005F0AA8" w:rsidRDefault="0021094A" w:rsidP="00F97CF2">
      <w:pPr>
        <w:rPr>
          <w:rFonts w:ascii="Arial" w:hAnsi="Arial" w:cs="Arial"/>
          <w:sz w:val="22"/>
          <w:szCs w:val="22"/>
          <w:lang w:val="hr-HR"/>
        </w:rPr>
      </w:pPr>
    </w:p>
    <w:p w14:paraId="055CCA31" w14:textId="6C062F26" w:rsidR="0021094A" w:rsidRPr="0062260D" w:rsidRDefault="0021094A" w:rsidP="00F97CF2">
      <w:pPr>
        <w:rPr>
          <w:rFonts w:ascii="Arial" w:hAnsi="Arial" w:cs="Arial"/>
          <w:sz w:val="22"/>
          <w:szCs w:val="22"/>
          <w:lang w:val="hr-HR"/>
        </w:rPr>
      </w:pPr>
      <w:r w:rsidRPr="0062260D">
        <w:rPr>
          <w:rFonts w:ascii="Arial" w:hAnsi="Arial" w:cs="Arial"/>
          <w:sz w:val="22"/>
          <w:szCs w:val="22"/>
          <w:lang w:val="hr-HR"/>
        </w:rPr>
        <w:t xml:space="preserve">KLASA: </w:t>
      </w:r>
      <w:r w:rsidR="0062260D" w:rsidRPr="0062260D">
        <w:rPr>
          <w:rFonts w:ascii="Arial" w:hAnsi="Arial" w:cs="Arial"/>
          <w:sz w:val="22"/>
          <w:szCs w:val="22"/>
          <w:lang w:val="hr-HR"/>
        </w:rPr>
        <w:t>363-02/21-10/16</w:t>
      </w:r>
    </w:p>
    <w:p w14:paraId="53C56AE1" w14:textId="44D1257F" w:rsidR="0021094A" w:rsidRPr="00DC2F13" w:rsidRDefault="0021094A" w:rsidP="00F97CF2">
      <w:pPr>
        <w:rPr>
          <w:rFonts w:ascii="Arial" w:hAnsi="Arial" w:cs="Arial"/>
          <w:color w:val="FF0000"/>
          <w:sz w:val="22"/>
          <w:szCs w:val="22"/>
          <w:lang w:val="hr-HR"/>
        </w:rPr>
      </w:pPr>
      <w:r w:rsidRPr="00971A60">
        <w:rPr>
          <w:rFonts w:ascii="Arial" w:hAnsi="Arial" w:cs="Arial"/>
          <w:sz w:val="22"/>
          <w:szCs w:val="22"/>
          <w:lang w:val="hr-HR"/>
        </w:rPr>
        <w:t xml:space="preserve">URBROJ: </w:t>
      </w:r>
      <w:r w:rsidR="00F4660F" w:rsidRPr="00971A60">
        <w:rPr>
          <w:rFonts w:ascii="Arial" w:hAnsi="Arial" w:cs="Arial"/>
          <w:sz w:val="22"/>
          <w:szCs w:val="22"/>
          <w:lang w:val="hr-HR"/>
        </w:rPr>
        <w:t>2170</w:t>
      </w:r>
      <w:r w:rsidR="00971A60" w:rsidRPr="00971A60">
        <w:rPr>
          <w:rFonts w:ascii="Arial" w:hAnsi="Arial" w:cs="Arial"/>
          <w:sz w:val="22"/>
          <w:szCs w:val="22"/>
          <w:lang w:val="hr-HR"/>
        </w:rPr>
        <w:t>-8-01-</w:t>
      </w:r>
      <w:r w:rsidR="00971A60" w:rsidRPr="00DC7384">
        <w:rPr>
          <w:rFonts w:ascii="Arial" w:hAnsi="Arial" w:cs="Arial"/>
          <w:sz w:val="22"/>
          <w:szCs w:val="22"/>
          <w:lang w:val="hr-HR"/>
        </w:rPr>
        <w:t>22</w:t>
      </w:r>
      <w:r w:rsidR="00F4660F" w:rsidRPr="00DC7384">
        <w:rPr>
          <w:rFonts w:ascii="Arial" w:hAnsi="Arial" w:cs="Arial"/>
          <w:sz w:val="22"/>
          <w:szCs w:val="22"/>
          <w:lang w:val="hr-HR"/>
        </w:rPr>
        <w:t>-</w:t>
      </w:r>
      <w:r w:rsidR="00A55625" w:rsidRPr="00DC7384">
        <w:rPr>
          <w:rFonts w:ascii="Arial" w:hAnsi="Arial" w:cs="Arial"/>
          <w:sz w:val="22"/>
          <w:szCs w:val="22"/>
          <w:lang w:val="hr-HR"/>
        </w:rPr>
        <w:t>5</w:t>
      </w:r>
    </w:p>
    <w:p w14:paraId="57A2129A" w14:textId="084DEE1A" w:rsidR="0021094A" w:rsidRPr="00EB293A" w:rsidRDefault="0021094A" w:rsidP="0021094A">
      <w:pPr>
        <w:rPr>
          <w:rFonts w:ascii="Arial" w:hAnsi="Arial" w:cs="Arial"/>
          <w:sz w:val="22"/>
          <w:szCs w:val="22"/>
          <w:lang w:val="hr-HR"/>
        </w:rPr>
      </w:pPr>
      <w:r w:rsidRPr="00EB293A">
        <w:rPr>
          <w:rFonts w:ascii="Arial" w:hAnsi="Arial" w:cs="Arial"/>
          <w:sz w:val="22"/>
          <w:szCs w:val="22"/>
          <w:lang w:val="hr-HR"/>
        </w:rPr>
        <w:t xml:space="preserve">Kraljevica, </w:t>
      </w:r>
      <w:r w:rsidR="0016044B">
        <w:rPr>
          <w:rFonts w:ascii="Arial" w:hAnsi="Arial" w:cs="Arial"/>
          <w:sz w:val="22"/>
          <w:szCs w:val="22"/>
          <w:lang w:val="hr-HR"/>
        </w:rPr>
        <w:t>18.siječnja 2022.</w:t>
      </w:r>
    </w:p>
    <w:p w14:paraId="7FB0881D" w14:textId="77777777" w:rsidR="00B44F3E" w:rsidRPr="005F0AA8" w:rsidRDefault="00B44F3E" w:rsidP="00B44F3E">
      <w:pPr>
        <w:jc w:val="both"/>
        <w:rPr>
          <w:rFonts w:ascii="Arial" w:hAnsi="Arial"/>
          <w:sz w:val="24"/>
          <w:szCs w:val="24"/>
          <w:lang w:val="hr-HR"/>
        </w:rPr>
      </w:pPr>
    </w:p>
    <w:p w14:paraId="3262CF80" w14:textId="77777777" w:rsidR="003F2191" w:rsidRPr="005F0AA8" w:rsidRDefault="003F2191" w:rsidP="003F2191">
      <w:pPr>
        <w:autoSpaceDE w:val="0"/>
        <w:autoSpaceDN w:val="0"/>
        <w:adjustRightInd w:val="0"/>
        <w:jc w:val="right"/>
        <w:rPr>
          <w:rFonts w:ascii="Arial" w:eastAsia="Calibri" w:hAnsi="Arial" w:cs="Arial"/>
          <w:b/>
          <w:bCs/>
          <w:lang w:eastAsia="en-US"/>
        </w:rPr>
      </w:pPr>
      <w:r w:rsidRPr="005F0AA8">
        <w:rPr>
          <w:rFonts w:ascii="Arial" w:eastAsia="Calibri" w:hAnsi="Arial" w:cs="Arial"/>
          <w:b/>
          <w:bCs/>
        </w:rPr>
        <w:t>GRADSKOM VIJEĆU GRADA KRALJEVICE</w:t>
      </w:r>
    </w:p>
    <w:p w14:paraId="27DBE6BB" w14:textId="77777777" w:rsidR="00B44F3E" w:rsidRPr="005F0AA8" w:rsidRDefault="00B44F3E" w:rsidP="00B44F3E">
      <w:pPr>
        <w:jc w:val="both"/>
        <w:rPr>
          <w:rFonts w:ascii="Arial" w:hAnsi="Arial"/>
          <w:sz w:val="22"/>
          <w:szCs w:val="22"/>
          <w:lang w:val="hr-HR"/>
        </w:rPr>
      </w:pPr>
    </w:p>
    <w:p w14:paraId="12BC827C" w14:textId="77777777" w:rsidR="0016044B" w:rsidRDefault="0016044B" w:rsidP="00DC2F13">
      <w:pPr>
        <w:rPr>
          <w:rFonts w:ascii="Arial" w:eastAsia="Calibri" w:hAnsi="Arial" w:cs="Arial"/>
          <w:sz w:val="22"/>
          <w:szCs w:val="22"/>
          <w:lang w:val="hr-HR" w:eastAsia="en-US"/>
        </w:rPr>
      </w:pPr>
      <w:r w:rsidRPr="0016044B">
        <w:rPr>
          <w:rFonts w:ascii="Arial" w:eastAsia="Calibri" w:hAnsi="Arial" w:cs="Arial"/>
          <w:sz w:val="22"/>
          <w:szCs w:val="22"/>
          <w:lang w:val="hr-HR" w:eastAsia="en-US"/>
        </w:rPr>
        <w:t>Na temelju članka 44. stavka 6. alineje 22. Statuta Grada Kraljevice („Službene novine Grada Kraljevice“ broj 4/14, 5/14 – ispravak Statuta, 5/15, 4/16, 1/18 i 3/18 – pročišćeni tekst, 1/20, 4/20 – pročišćeni tekst i 2/21) dostavljam na usvajanje</w:t>
      </w:r>
    </w:p>
    <w:p w14:paraId="7B779159" w14:textId="77777777" w:rsidR="0016044B" w:rsidRDefault="0016044B" w:rsidP="00DC2F13">
      <w:pPr>
        <w:rPr>
          <w:rFonts w:ascii="Arial" w:eastAsia="Calibri" w:hAnsi="Arial" w:cs="Arial"/>
          <w:sz w:val="22"/>
          <w:szCs w:val="22"/>
          <w:lang w:val="hr-HR" w:eastAsia="en-US"/>
        </w:rPr>
      </w:pPr>
    </w:p>
    <w:p w14:paraId="0D5DEBF3" w14:textId="3FACCFD0" w:rsidR="00DC2F13" w:rsidRPr="00DC2F13" w:rsidRDefault="0016044B" w:rsidP="00DC2F13">
      <w:pPr>
        <w:rPr>
          <w:rFonts w:ascii="Arial" w:hAnsi="Arial" w:cs="Arial"/>
          <w:b/>
          <w:bCs/>
          <w:sz w:val="22"/>
          <w:szCs w:val="22"/>
          <w:lang w:val="hr-HR"/>
        </w:rPr>
      </w:pPr>
      <w:r>
        <w:rPr>
          <w:rFonts w:ascii="Arial" w:hAnsi="Arial" w:cs="Arial"/>
          <w:b/>
          <w:sz w:val="22"/>
          <w:szCs w:val="22"/>
          <w:lang w:val="hr-HR"/>
        </w:rPr>
        <w:t>p</w:t>
      </w:r>
      <w:r w:rsidR="00DC2F13">
        <w:rPr>
          <w:rFonts w:ascii="Arial" w:hAnsi="Arial" w:cs="Arial"/>
          <w:b/>
          <w:sz w:val="22"/>
          <w:szCs w:val="22"/>
          <w:lang w:val="hr-HR"/>
        </w:rPr>
        <w:t xml:space="preserve">rijedlog Odluke </w:t>
      </w:r>
      <w:r w:rsidR="00DC2F13" w:rsidRPr="00DC2F13">
        <w:rPr>
          <w:rFonts w:ascii="Arial" w:hAnsi="Arial" w:cs="Arial"/>
          <w:b/>
          <w:bCs/>
          <w:sz w:val="22"/>
          <w:szCs w:val="22"/>
          <w:lang w:val="hr-HR"/>
        </w:rPr>
        <w:t xml:space="preserve">o načinu pružanja javne usluge sakupljanja komunalnog otpada </w:t>
      </w:r>
    </w:p>
    <w:p w14:paraId="67319374" w14:textId="77777777" w:rsidR="00DC2F13" w:rsidRPr="00DC2F13" w:rsidRDefault="00DC2F13" w:rsidP="00DC2F13">
      <w:pPr>
        <w:rPr>
          <w:rFonts w:ascii="Arial" w:hAnsi="Arial" w:cs="Arial"/>
          <w:b/>
          <w:sz w:val="22"/>
          <w:szCs w:val="22"/>
          <w:lang w:val="hr-HR"/>
        </w:rPr>
      </w:pPr>
      <w:r w:rsidRPr="00DC2F13">
        <w:rPr>
          <w:rFonts w:ascii="Arial" w:hAnsi="Arial" w:cs="Arial"/>
          <w:b/>
          <w:bCs/>
          <w:sz w:val="22"/>
          <w:szCs w:val="22"/>
          <w:lang w:val="hr-HR"/>
        </w:rPr>
        <w:t>na području Grada Kraljevice</w:t>
      </w:r>
      <w:r w:rsidRPr="00DC2F13">
        <w:rPr>
          <w:rFonts w:ascii="Arial" w:hAnsi="Arial" w:cs="Arial"/>
          <w:b/>
          <w:sz w:val="22"/>
          <w:szCs w:val="22"/>
          <w:lang w:val="x-none"/>
        </w:rPr>
        <w:t xml:space="preserve"> </w:t>
      </w:r>
    </w:p>
    <w:p w14:paraId="4A0160CF" w14:textId="77777777" w:rsidR="00DC2F13" w:rsidRDefault="00DC2F13" w:rsidP="00B44F3E">
      <w:pPr>
        <w:jc w:val="both"/>
        <w:rPr>
          <w:rFonts w:ascii="Arial" w:hAnsi="Arial" w:cs="Arial"/>
          <w:sz w:val="22"/>
          <w:szCs w:val="22"/>
          <w:lang w:val="hr-HR"/>
        </w:rPr>
      </w:pPr>
    </w:p>
    <w:p w14:paraId="5C1461C2" w14:textId="77777777" w:rsidR="003F2191" w:rsidRPr="005F0AA8" w:rsidRDefault="003F2191" w:rsidP="003F2191">
      <w:pPr>
        <w:rPr>
          <w:rFonts w:ascii="Arial" w:hAnsi="Arial" w:cs="Arial"/>
          <w:b/>
          <w:bCs/>
        </w:rPr>
      </w:pPr>
      <w:r w:rsidRPr="005F0AA8">
        <w:rPr>
          <w:rFonts w:ascii="Arial" w:hAnsi="Arial" w:cs="Arial"/>
          <w:b/>
          <w:bCs/>
        </w:rPr>
        <w:t>PRAVNA OSNOVA ZA DONOŠENJE AKTA</w:t>
      </w:r>
    </w:p>
    <w:p w14:paraId="14F74976" w14:textId="77777777" w:rsidR="003F2191" w:rsidRPr="005F0AA8" w:rsidRDefault="003F2191" w:rsidP="003F2191">
      <w:pPr>
        <w:rPr>
          <w:rFonts w:ascii="Arial" w:hAnsi="Arial" w:cs="Arial"/>
          <w:b/>
          <w:bCs/>
        </w:rPr>
      </w:pPr>
    </w:p>
    <w:p w14:paraId="6DCA029D" w14:textId="09794753" w:rsidR="003F2191" w:rsidRPr="005F0AA8" w:rsidRDefault="00DC2F13" w:rsidP="00701C7F">
      <w:pPr>
        <w:ind w:firstLine="708"/>
        <w:jc w:val="both"/>
        <w:rPr>
          <w:rFonts w:ascii="Arial" w:hAnsi="Arial" w:cs="Arial"/>
          <w:sz w:val="22"/>
          <w:szCs w:val="22"/>
          <w:lang w:val="hr-HR"/>
        </w:rPr>
      </w:pPr>
      <w:r>
        <w:rPr>
          <w:rFonts w:ascii="Arial" w:hAnsi="Arial" w:cs="Arial"/>
          <w:sz w:val="22"/>
          <w:szCs w:val="22"/>
          <w:lang w:val="hr-HR"/>
        </w:rPr>
        <w:t xml:space="preserve">Pravna osnova za donošenje akta sadržana je u </w:t>
      </w:r>
      <w:r w:rsidRPr="00DC2F13">
        <w:rPr>
          <w:rFonts w:ascii="Arial" w:hAnsi="Arial" w:cs="Arial"/>
          <w:bCs/>
          <w:sz w:val="22"/>
          <w:szCs w:val="22"/>
          <w:lang w:val="hr-HR"/>
        </w:rPr>
        <w:t>člank</w:t>
      </w:r>
      <w:r>
        <w:rPr>
          <w:rFonts w:ascii="Arial" w:hAnsi="Arial" w:cs="Arial"/>
          <w:bCs/>
          <w:sz w:val="22"/>
          <w:szCs w:val="22"/>
          <w:lang w:val="hr-HR"/>
        </w:rPr>
        <w:t>u</w:t>
      </w:r>
      <w:r w:rsidRPr="00DC2F13">
        <w:rPr>
          <w:rFonts w:ascii="Arial" w:hAnsi="Arial" w:cs="Arial"/>
          <w:bCs/>
          <w:sz w:val="22"/>
          <w:szCs w:val="22"/>
          <w:lang w:val="hr-HR"/>
        </w:rPr>
        <w:t xml:space="preserve"> 178. stavk</w:t>
      </w:r>
      <w:r>
        <w:rPr>
          <w:rFonts w:ascii="Arial" w:hAnsi="Arial" w:cs="Arial"/>
          <w:bCs/>
          <w:sz w:val="22"/>
          <w:szCs w:val="22"/>
          <w:lang w:val="hr-HR"/>
        </w:rPr>
        <w:t>u</w:t>
      </w:r>
      <w:r w:rsidRPr="00DC2F13">
        <w:rPr>
          <w:rFonts w:ascii="Arial" w:hAnsi="Arial" w:cs="Arial"/>
          <w:bCs/>
          <w:sz w:val="22"/>
          <w:szCs w:val="22"/>
          <w:lang w:val="hr-HR"/>
        </w:rPr>
        <w:t xml:space="preserve"> 1. Zakona o gospodarenju otpadom</w:t>
      </w:r>
      <w:r>
        <w:rPr>
          <w:rFonts w:ascii="Arial" w:hAnsi="Arial" w:cs="Arial"/>
          <w:bCs/>
          <w:sz w:val="22"/>
          <w:szCs w:val="22"/>
          <w:lang w:val="hr-HR"/>
        </w:rPr>
        <w:t xml:space="preserve"> (</w:t>
      </w:r>
      <w:r w:rsidR="0016044B">
        <w:rPr>
          <w:rFonts w:ascii="Arial" w:hAnsi="Arial" w:cs="Arial"/>
          <w:bCs/>
          <w:sz w:val="22"/>
          <w:szCs w:val="22"/>
          <w:lang w:val="hr-HR"/>
        </w:rPr>
        <w:t>„Narodne novine</w:t>
      </w:r>
      <w:r w:rsidRPr="00DC2F13">
        <w:rPr>
          <w:rFonts w:ascii="Arial" w:hAnsi="Arial" w:cs="Arial"/>
          <w:bCs/>
          <w:sz w:val="22"/>
          <w:szCs w:val="22"/>
          <w:lang w:val="hr-HR"/>
        </w:rPr>
        <w:t>“ broj 84/</w:t>
      </w:r>
      <w:r w:rsidR="000B1A91">
        <w:rPr>
          <w:rFonts w:ascii="Arial" w:hAnsi="Arial" w:cs="Arial"/>
          <w:bCs/>
          <w:sz w:val="22"/>
          <w:szCs w:val="22"/>
          <w:lang w:val="hr-HR"/>
        </w:rPr>
        <w:t>21</w:t>
      </w:r>
      <w:r>
        <w:rPr>
          <w:rFonts w:ascii="Arial" w:hAnsi="Arial" w:cs="Arial"/>
          <w:bCs/>
          <w:sz w:val="22"/>
          <w:szCs w:val="22"/>
          <w:lang w:val="hr-HR"/>
        </w:rPr>
        <w:t>“).</w:t>
      </w:r>
    </w:p>
    <w:p w14:paraId="79D33D90" w14:textId="77777777" w:rsidR="003F2191" w:rsidRPr="005F0AA8" w:rsidRDefault="003F2191" w:rsidP="003F2191">
      <w:pPr>
        <w:rPr>
          <w:rFonts w:ascii="Arial" w:hAnsi="Arial" w:cs="Arial"/>
          <w:b/>
          <w:bCs/>
          <w:lang w:eastAsia="en-US"/>
        </w:rPr>
      </w:pPr>
    </w:p>
    <w:p w14:paraId="37EDB952" w14:textId="77777777" w:rsidR="003F2191" w:rsidRPr="005F0AA8" w:rsidRDefault="003F2191" w:rsidP="003F2191">
      <w:pPr>
        <w:jc w:val="both"/>
        <w:rPr>
          <w:rFonts w:ascii="Arial" w:hAnsi="Arial" w:cs="Arial"/>
          <w:sz w:val="22"/>
          <w:szCs w:val="22"/>
          <w:lang w:val="hr-HR"/>
        </w:rPr>
      </w:pPr>
      <w:r w:rsidRPr="005F0AA8">
        <w:rPr>
          <w:rFonts w:ascii="Arial" w:hAnsi="Arial" w:cs="Arial"/>
          <w:b/>
          <w:bCs/>
        </w:rPr>
        <w:t>OSNOVNA PITANJA I PRIKAZ STANJA KOJE SE UREĐUJE AKTOM</w:t>
      </w:r>
    </w:p>
    <w:p w14:paraId="35EB49F1" w14:textId="77777777" w:rsidR="003F2191" w:rsidRPr="005F0AA8" w:rsidRDefault="003F2191" w:rsidP="00EF1E14">
      <w:pPr>
        <w:ind w:firstLine="708"/>
        <w:jc w:val="both"/>
        <w:rPr>
          <w:rFonts w:ascii="Arial" w:hAnsi="Arial" w:cs="Arial"/>
          <w:sz w:val="22"/>
          <w:szCs w:val="22"/>
          <w:lang w:val="hr-HR"/>
        </w:rPr>
      </w:pPr>
    </w:p>
    <w:p w14:paraId="5C31B728" w14:textId="7CE105B8"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Dana 15. srpnja 2021. godine Hrvatski sabor donio je Zakon o gospodarenju otpadom (u daljnjem tekstu: Zakon) koji je objavljen u „Narodnim novinama“ broj 84/</w:t>
      </w:r>
      <w:r w:rsidR="000B1A91">
        <w:rPr>
          <w:rFonts w:ascii="Arial" w:hAnsi="Arial" w:cs="Arial"/>
          <w:sz w:val="22"/>
          <w:szCs w:val="22"/>
          <w:lang w:val="hr-HR"/>
        </w:rPr>
        <w:t>21</w:t>
      </w:r>
      <w:r w:rsidR="00814E67">
        <w:rPr>
          <w:rFonts w:ascii="Arial" w:hAnsi="Arial" w:cs="Arial"/>
          <w:sz w:val="22"/>
          <w:szCs w:val="22"/>
          <w:lang w:val="hr-HR"/>
        </w:rPr>
        <w:t xml:space="preserve"> zbog potrebe usklađivanja zakonodavstva Republike Hrvatske s pravnom stečevinom Europske unije</w:t>
      </w:r>
      <w:r w:rsidRPr="00DC2F13">
        <w:rPr>
          <w:rFonts w:ascii="Arial" w:hAnsi="Arial" w:cs="Arial"/>
          <w:sz w:val="22"/>
          <w:szCs w:val="22"/>
          <w:lang w:val="hr-HR"/>
        </w:rPr>
        <w:t>. Danom stupanja na snagu predmetnog Zakona prestale su važiti odredbe Zakona o održivom gospodarenju otpadom („Narodne novine“ broj 94/13, 73/17, 14/19 i 98/19).</w:t>
      </w:r>
    </w:p>
    <w:p w14:paraId="19CFA4B5" w14:textId="4FE55410" w:rsidR="009D7A85"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Odredb</w:t>
      </w:r>
      <w:r w:rsidR="000B1A91">
        <w:rPr>
          <w:rFonts w:ascii="Arial" w:hAnsi="Arial" w:cs="Arial"/>
          <w:sz w:val="22"/>
          <w:szCs w:val="22"/>
          <w:lang w:val="hr-HR"/>
        </w:rPr>
        <w:t>om članka 178. stavka 1. Zakona</w:t>
      </w:r>
      <w:r w:rsidRPr="00DC2F13">
        <w:rPr>
          <w:rFonts w:ascii="Arial" w:hAnsi="Arial" w:cs="Arial"/>
          <w:sz w:val="22"/>
          <w:szCs w:val="22"/>
          <w:lang w:val="hr-HR"/>
        </w:rPr>
        <w:t xml:space="preserve">, propisano je da su jedinice lokalne samouprave dužne u roku od šest mjeseci od dana stupanja na snagu predmetnog Zakona donijeti Odluku o načinu pružanja javne usluge sakupljanja komunalnog otpada </w:t>
      </w:r>
      <w:r w:rsidR="00814E67" w:rsidRPr="00814E67">
        <w:rPr>
          <w:rFonts w:ascii="Arial" w:hAnsi="Arial" w:cs="Arial"/>
          <w:sz w:val="22"/>
          <w:szCs w:val="22"/>
          <w:lang w:val="hr-HR"/>
        </w:rPr>
        <w:t xml:space="preserve">(u daljnjem tekstu: Odluka) </w:t>
      </w:r>
      <w:r w:rsidRPr="00DC2F13">
        <w:rPr>
          <w:rFonts w:ascii="Arial" w:hAnsi="Arial" w:cs="Arial"/>
          <w:sz w:val="22"/>
          <w:szCs w:val="22"/>
          <w:lang w:val="hr-HR"/>
        </w:rPr>
        <w:t>koja se donosi s ciljem usklađivanja načina pružanja javne usluge sakupljanja komunalnog otpada s odredbama novog Zakona</w:t>
      </w:r>
      <w:r w:rsidR="00D043A9">
        <w:rPr>
          <w:rFonts w:ascii="Arial" w:hAnsi="Arial" w:cs="Arial"/>
          <w:sz w:val="22"/>
          <w:szCs w:val="22"/>
          <w:lang w:val="hr-HR"/>
        </w:rPr>
        <w:t>. U članku</w:t>
      </w:r>
      <w:r w:rsidR="007F25AE">
        <w:rPr>
          <w:rFonts w:ascii="Arial" w:hAnsi="Arial" w:cs="Arial"/>
          <w:sz w:val="22"/>
          <w:szCs w:val="22"/>
          <w:lang w:val="hr-HR"/>
        </w:rPr>
        <w:t xml:space="preserve"> </w:t>
      </w:r>
      <w:r w:rsidRPr="00DC2F13">
        <w:rPr>
          <w:rFonts w:ascii="Arial" w:hAnsi="Arial" w:cs="Arial"/>
          <w:sz w:val="22"/>
          <w:szCs w:val="22"/>
          <w:lang w:val="hr-HR"/>
        </w:rPr>
        <w:t xml:space="preserve">66. Zakona propisano </w:t>
      </w:r>
      <w:r w:rsidR="00D043A9">
        <w:rPr>
          <w:rFonts w:ascii="Arial" w:hAnsi="Arial" w:cs="Arial"/>
          <w:sz w:val="22"/>
          <w:szCs w:val="22"/>
          <w:lang w:val="hr-HR"/>
        </w:rPr>
        <w:t xml:space="preserve">je </w:t>
      </w:r>
      <w:r w:rsidR="00814E67">
        <w:rPr>
          <w:rFonts w:ascii="Arial" w:hAnsi="Arial" w:cs="Arial"/>
          <w:sz w:val="22"/>
          <w:szCs w:val="22"/>
          <w:lang w:val="hr-HR"/>
        </w:rPr>
        <w:t xml:space="preserve">koje sve odredbe </w:t>
      </w:r>
      <w:r w:rsidR="00D043A9" w:rsidRPr="00D043A9">
        <w:rPr>
          <w:rFonts w:ascii="Arial" w:hAnsi="Arial" w:cs="Arial"/>
          <w:sz w:val="22"/>
          <w:szCs w:val="22"/>
          <w:lang w:val="hr-HR"/>
        </w:rPr>
        <w:t xml:space="preserve">treba sadržavati </w:t>
      </w:r>
      <w:r w:rsidR="009D7A85">
        <w:rPr>
          <w:rFonts w:ascii="Arial" w:hAnsi="Arial" w:cs="Arial"/>
          <w:sz w:val="22"/>
          <w:szCs w:val="22"/>
          <w:lang w:val="hr-HR"/>
        </w:rPr>
        <w:t>Odluka.</w:t>
      </w:r>
      <w:r w:rsidR="000B1A91">
        <w:rPr>
          <w:rFonts w:ascii="Arial" w:hAnsi="Arial" w:cs="Arial"/>
          <w:sz w:val="22"/>
          <w:szCs w:val="22"/>
          <w:lang w:val="hr-HR"/>
        </w:rPr>
        <w:t xml:space="preserve"> </w:t>
      </w:r>
    </w:p>
    <w:p w14:paraId="2BE81791" w14:textId="4EF6C1CD"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 xml:space="preserve">Odlukom se predlaže urediti kriterije obračuna količine miješanog komunalnog otpada, standardne veličine i druga bitna svojstva spremnika za sakupljanje otpada, najmanju učestalost odvoza otpada, iznos cijene obvezne minimalne javne usluge, način podnošenja prigovora građana, način pojedinačnog korištenje javne usluge, način korištenja zajedničkog spremnika, prihvatljivom dokazu izvršenja javne usluge, </w:t>
      </w:r>
      <w:r w:rsidR="00212286">
        <w:rPr>
          <w:rFonts w:ascii="Arial" w:hAnsi="Arial" w:cs="Arial"/>
          <w:sz w:val="22"/>
          <w:szCs w:val="22"/>
          <w:lang w:val="hr-HR"/>
        </w:rPr>
        <w:t xml:space="preserve">odredbe o </w:t>
      </w:r>
      <w:r w:rsidRPr="00DC2F13">
        <w:rPr>
          <w:rFonts w:ascii="Arial" w:hAnsi="Arial" w:cs="Arial"/>
          <w:sz w:val="22"/>
          <w:szCs w:val="22"/>
          <w:lang w:val="hr-HR"/>
        </w:rPr>
        <w:t>ugovorn</w:t>
      </w:r>
      <w:r w:rsidR="00212286">
        <w:rPr>
          <w:rFonts w:ascii="Arial" w:hAnsi="Arial" w:cs="Arial"/>
          <w:sz w:val="22"/>
          <w:szCs w:val="22"/>
          <w:lang w:val="hr-HR"/>
        </w:rPr>
        <w:t>oj</w:t>
      </w:r>
      <w:r w:rsidRPr="00DC2F13">
        <w:rPr>
          <w:rFonts w:ascii="Arial" w:hAnsi="Arial" w:cs="Arial"/>
          <w:sz w:val="22"/>
          <w:szCs w:val="22"/>
          <w:lang w:val="hr-HR"/>
        </w:rPr>
        <w:t xml:space="preserve"> kazn</w:t>
      </w:r>
      <w:r w:rsidR="00212286">
        <w:rPr>
          <w:rFonts w:ascii="Arial" w:hAnsi="Arial" w:cs="Arial"/>
          <w:sz w:val="22"/>
          <w:szCs w:val="22"/>
          <w:lang w:val="hr-HR"/>
        </w:rPr>
        <w:t>i</w:t>
      </w:r>
      <w:r w:rsidRPr="00DC2F13">
        <w:rPr>
          <w:rFonts w:ascii="Arial" w:hAnsi="Arial" w:cs="Arial"/>
          <w:sz w:val="22"/>
          <w:szCs w:val="22"/>
          <w:lang w:val="hr-HR"/>
        </w:rPr>
        <w:t>, opće uvjete ugovora s korisnicima te sva druga pitanja za koja Zakon propisuje da ih mo</w:t>
      </w:r>
      <w:r w:rsidR="00212286">
        <w:rPr>
          <w:rFonts w:ascii="Arial" w:hAnsi="Arial" w:cs="Arial"/>
          <w:sz w:val="22"/>
          <w:szCs w:val="22"/>
          <w:lang w:val="hr-HR"/>
        </w:rPr>
        <w:t>že</w:t>
      </w:r>
      <w:r w:rsidRPr="00DC2F13">
        <w:rPr>
          <w:rFonts w:ascii="Arial" w:hAnsi="Arial" w:cs="Arial"/>
          <w:sz w:val="22"/>
          <w:szCs w:val="22"/>
          <w:lang w:val="hr-HR"/>
        </w:rPr>
        <w:t xml:space="preserve"> sadržavati odluka o načinu pružanja javne usluge sakupljanja komunalnog otpada.</w:t>
      </w:r>
    </w:p>
    <w:p w14:paraId="01DCDAC4" w14:textId="56F8E1DF"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 xml:space="preserve">Korisnici javne usluge dijele se na korisnike koji su kućanstvo i korisnike koji nisu kućanstvo (pravne osobe, fizičke osobe obrtnici, fizičke osobe iznajmljivači nekretnina koji pružaju ugostiteljske usluge). </w:t>
      </w:r>
    </w:p>
    <w:p w14:paraId="10C13074" w14:textId="2DB843ED"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 xml:space="preserve">Kriterij obračuna količine predanog otpada tijekom obračunskog razdoblja koje je mjesec dana i dalje se koristi volumen spremnika za sakupljanje otpada i evidentirani broj pražnjenja spremnika. </w:t>
      </w:r>
    </w:p>
    <w:p w14:paraId="02D65805" w14:textId="77777777"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 xml:space="preserve">Cijenu javne usluge čini cijena obvezne minimalne javne usluge (fiksni dio) i cijena javne usluge za količinu predanog miješanog komunalnog otpada (varijabilni dio). Odlukom su </w:t>
      </w:r>
      <w:r w:rsidRPr="00DC2F13">
        <w:rPr>
          <w:rFonts w:ascii="Arial" w:hAnsi="Arial" w:cs="Arial"/>
          <w:sz w:val="22"/>
          <w:szCs w:val="22"/>
          <w:lang w:val="hr-HR"/>
        </w:rPr>
        <w:lastRenderedPageBreak/>
        <w:t>predviđene i ugovorne kazne u slučaju kada se postupa protivno ugovoru o korištenju javne usluge.</w:t>
      </w:r>
    </w:p>
    <w:p w14:paraId="73FB648C" w14:textId="7754E84D" w:rsidR="00DC2F13" w:rsidRPr="00DC2F13" w:rsidRDefault="00DC2F13" w:rsidP="00DC2F13">
      <w:pPr>
        <w:ind w:firstLine="708"/>
        <w:jc w:val="both"/>
        <w:rPr>
          <w:rFonts w:ascii="Arial" w:hAnsi="Arial" w:cs="Arial"/>
          <w:sz w:val="22"/>
          <w:szCs w:val="22"/>
          <w:lang w:val="hr-HR"/>
        </w:rPr>
      </w:pPr>
      <w:r w:rsidRPr="00DC2F13">
        <w:rPr>
          <w:rFonts w:ascii="Arial" w:hAnsi="Arial" w:cs="Arial"/>
          <w:sz w:val="22"/>
          <w:szCs w:val="22"/>
          <w:lang w:val="hr-HR"/>
        </w:rPr>
        <w:t>Cijena obvezne minimalne javne usluge (fiksni dio), sukladno Zakonu, uključuje sve troškove funkcioniranja sustava gospodarenja otpadom, kao što su: nabave i održavanja opreme za sakupljanje otpada, troškov</w:t>
      </w:r>
      <w:r w:rsidR="00180DB8">
        <w:rPr>
          <w:rFonts w:ascii="Arial" w:hAnsi="Arial" w:cs="Arial"/>
          <w:sz w:val="22"/>
          <w:szCs w:val="22"/>
          <w:lang w:val="hr-HR"/>
        </w:rPr>
        <w:t>i</w:t>
      </w:r>
      <w:r w:rsidRPr="00DC2F13">
        <w:rPr>
          <w:rFonts w:ascii="Arial" w:hAnsi="Arial" w:cs="Arial"/>
          <w:sz w:val="22"/>
          <w:szCs w:val="22"/>
          <w:lang w:val="hr-HR"/>
        </w:rPr>
        <w:t xml:space="preserve"> prije</w:t>
      </w:r>
      <w:r w:rsidRPr="00776FB5">
        <w:rPr>
          <w:rFonts w:ascii="Arial" w:hAnsi="Arial" w:cs="Arial"/>
          <w:sz w:val="22"/>
          <w:szCs w:val="22"/>
          <w:lang w:val="hr-HR"/>
        </w:rPr>
        <w:t>voza otpada, troškov</w:t>
      </w:r>
      <w:r w:rsidR="00180DB8" w:rsidRPr="00776FB5">
        <w:rPr>
          <w:rFonts w:ascii="Arial" w:hAnsi="Arial" w:cs="Arial"/>
          <w:sz w:val="22"/>
          <w:szCs w:val="22"/>
          <w:lang w:val="hr-HR"/>
        </w:rPr>
        <w:t>i</w:t>
      </w:r>
      <w:r w:rsidRPr="00776FB5">
        <w:rPr>
          <w:rFonts w:ascii="Arial" w:hAnsi="Arial" w:cs="Arial"/>
          <w:sz w:val="22"/>
          <w:szCs w:val="22"/>
          <w:lang w:val="hr-HR"/>
        </w:rPr>
        <w:t xml:space="preserve"> nastalih radom reciklažnog dvorišta i mobilnog reciklažnog dvorišta </w:t>
      </w:r>
      <w:r w:rsidRPr="00DC2F13">
        <w:rPr>
          <w:rFonts w:ascii="Arial" w:hAnsi="Arial" w:cs="Arial"/>
          <w:sz w:val="22"/>
          <w:szCs w:val="22"/>
          <w:lang w:val="hr-HR"/>
        </w:rPr>
        <w:t>zaprimanjem bez naknade otpada nastalog u kućanstvu i troškova vođenja propisanih evidencija i izvješćivanja u svezi s javnom uslugom.</w:t>
      </w:r>
    </w:p>
    <w:p w14:paraId="68129FAB" w14:textId="19070A81" w:rsidR="00814E67" w:rsidRDefault="00DC2F13" w:rsidP="007F25AE">
      <w:pPr>
        <w:jc w:val="both"/>
        <w:rPr>
          <w:rFonts w:ascii="Arial" w:hAnsi="Arial" w:cs="Arial"/>
          <w:sz w:val="22"/>
          <w:szCs w:val="22"/>
          <w:lang w:val="hr-HR"/>
        </w:rPr>
      </w:pPr>
      <w:r w:rsidRPr="00DC2F13">
        <w:rPr>
          <w:rFonts w:ascii="Arial" w:hAnsi="Arial" w:cs="Arial"/>
          <w:sz w:val="22"/>
          <w:szCs w:val="22"/>
          <w:lang w:val="hr-HR"/>
        </w:rPr>
        <w:t xml:space="preserve">Cijena obvezne minimalne javne usluge na području Grada jedinstvena je za sve korisnike javne usluge kategorije kućanstvo i iznosi 54,91 kuna mjesečno (bez PDV-a), dok za korisnike koji nisu kućanstvo iznosi 154,53 kuna mjesečno (bez PDV-a). </w:t>
      </w:r>
      <w:r w:rsidR="00814E67">
        <w:rPr>
          <w:rFonts w:ascii="Arial" w:hAnsi="Arial" w:cs="Arial"/>
          <w:sz w:val="22"/>
          <w:szCs w:val="22"/>
          <w:lang w:val="hr-HR"/>
        </w:rPr>
        <w:t>Važno je naglasiti da se prijedlogom Odluke predviđa i odvojeno prikupljanje biootpada na lokaciji obračunskog mjesta korisnika usluge sa rokom od dvije godine za nabavu opreme.</w:t>
      </w:r>
    </w:p>
    <w:p w14:paraId="185DD092" w14:textId="77777777" w:rsidR="00F86C51" w:rsidRDefault="00016C64" w:rsidP="00F86C51">
      <w:pPr>
        <w:jc w:val="both"/>
        <w:rPr>
          <w:rFonts w:ascii="Arial" w:hAnsi="Arial" w:cs="Arial"/>
          <w:sz w:val="22"/>
          <w:szCs w:val="22"/>
          <w:lang w:val="hr-HR"/>
        </w:rPr>
      </w:pPr>
      <w:r>
        <w:rPr>
          <w:rFonts w:ascii="Arial" w:hAnsi="Arial" w:cs="Arial"/>
          <w:sz w:val="22"/>
          <w:szCs w:val="22"/>
          <w:lang w:val="hr-HR"/>
        </w:rPr>
        <w:tab/>
      </w:r>
      <w:r w:rsidR="00F945EF" w:rsidRPr="00F945EF">
        <w:rPr>
          <w:rFonts w:ascii="Arial" w:hAnsi="Arial" w:cs="Arial"/>
          <w:sz w:val="22"/>
          <w:szCs w:val="22"/>
          <w:lang w:val="hr-HR"/>
        </w:rPr>
        <w:t xml:space="preserve">Novom Odlukom i dalje se prvenstveno potiče korisnike javne usluge na predaju otpada odvojeno po vrstama kako bi se smanjila količina miješanog komunalnog otpada te količina otpada koja se odlaže na odlagalište. </w:t>
      </w:r>
    </w:p>
    <w:p w14:paraId="6EDCD7C9" w14:textId="62172A22" w:rsidR="00F86C51" w:rsidRPr="00F86C51" w:rsidRDefault="00F86C51" w:rsidP="00F86C51">
      <w:pPr>
        <w:ind w:firstLine="708"/>
        <w:jc w:val="both"/>
        <w:rPr>
          <w:rFonts w:ascii="Arial" w:hAnsi="Arial" w:cs="Arial"/>
          <w:sz w:val="22"/>
          <w:szCs w:val="22"/>
          <w:lang w:val="hr-HR"/>
        </w:rPr>
      </w:pPr>
      <w:r>
        <w:rPr>
          <w:rFonts w:ascii="Arial" w:hAnsi="Arial" w:cs="Arial"/>
          <w:sz w:val="22"/>
          <w:szCs w:val="22"/>
          <w:lang w:val="hr-HR"/>
        </w:rPr>
        <w:t>Provedeno</w:t>
      </w:r>
      <w:r w:rsidRPr="00F86C51">
        <w:rPr>
          <w:rFonts w:ascii="Arial" w:hAnsi="Arial" w:cs="Arial"/>
          <w:sz w:val="22"/>
          <w:szCs w:val="22"/>
          <w:lang w:val="hr-HR"/>
        </w:rPr>
        <w:t xml:space="preserve"> je savjetovanje s zainteresiranom javnošću o Nacrtu prijedloga Odluke u trajanju od 30 dana, odnosno od 12.studenog do 12.prosinca 2021. godine. Tijekom razdoblja trajanja savjetovanja, na Nacrt prijedloga Odluke pristiglo je jedno očitovanje sa četiri primjedbe koje su prihvaćene i ugrađene u prijedlog Odluke.</w:t>
      </w:r>
    </w:p>
    <w:p w14:paraId="0FC26CF9" w14:textId="7362F15A" w:rsidR="00016C64" w:rsidRPr="00DC2F13" w:rsidRDefault="00016C64" w:rsidP="007F25AE">
      <w:pPr>
        <w:jc w:val="both"/>
        <w:rPr>
          <w:rFonts w:ascii="Arial" w:hAnsi="Arial" w:cs="Arial"/>
          <w:sz w:val="22"/>
          <w:szCs w:val="22"/>
          <w:lang w:val="hr-HR"/>
        </w:rPr>
      </w:pPr>
    </w:p>
    <w:p w14:paraId="7089701A" w14:textId="77777777" w:rsidR="004E4B06" w:rsidRPr="004E4B06" w:rsidRDefault="004E4B06" w:rsidP="004E4B06">
      <w:pPr>
        <w:spacing w:after="160" w:line="259" w:lineRule="auto"/>
        <w:rPr>
          <w:rFonts w:ascii="Arial" w:eastAsia="Calibri" w:hAnsi="Arial" w:cs="Arial"/>
          <w:b/>
          <w:bCs/>
          <w:sz w:val="22"/>
          <w:szCs w:val="22"/>
          <w:lang w:val="hr-HR" w:eastAsia="en-US"/>
        </w:rPr>
      </w:pPr>
      <w:r w:rsidRPr="004E4B06">
        <w:rPr>
          <w:rFonts w:ascii="Arial" w:eastAsia="Calibri" w:hAnsi="Arial" w:cs="Arial"/>
          <w:b/>
          <w:bCs/>
          <w:sz w:val="22"/>
          <w:szCs w:val="22"/>
          <w:lang w:val="hr-HR" w:eastAsia="en-US"/>
        </w:rPr>
        <w:t>TEKST PRIJEDLOGA AKTA</w:t>
      </w:r>
    </w:p>
    <w:p w14:paraId="639E9831" w14:textId="77777777" w:rsidR="004E4B06" w:rsidRPr="004E4B06" w:rsidRDefault="004E4B06" w:rsidP="004E4B06">
      <w:pPr>
        <w:spacing w:after="160" w:line="259" w:lineRule="auto"/>
        <w:rPr>
          <w:rFonts w:ascii="Arial" w:eastAsia="Calibri" w:hAnsi="Arial" w:cs="Arial"/>
          <w:b/>
          <w:sz w:val="22"/>
          <w:szCs w:val="22"/>
          <w:lang w:val="hr-HR" w:eastAsia="en-US"/>
        </w:rPr>
      </w:pPr>
      <w:r w:rsidRPr="004E4B06">
        <w:rPr>
          <w:rFonts w:ascii="Arial" w:eastAsia="Calibri" w:hAnsi="Arial" w:cs="Arial"/>
          <w:sz w:val="22"/>
          <w:szCs w:val="22"/>
          <w:lang w:val="hr-HR" w:eastAsia="en-US"/>
        </w:rPr>
        <w:t>Tekst prijedloga Odluke dostavljen je u prilogu.</w:t>
      </w:r>
      <w:bookmarkStart w:id="0" w:name="_GoBack"/>
      <w:bookmarkEnd w:id="0"/>
    </w:p>
    <w:p w14:paraId="56418EA7" w14:textId="77777777" w:rsidR="004E4B06" w:rsidRPr="004E4B06" w:rsidRDefault="004E4B06" w:rsidP="004E4B06">
      <w:pPr>
        <w:spacing w:after="160" w:line="259" w:lineRule="auto"/>
        <w:rPr>
          <w:rFonts w:ascii="Arial" w:eastAsia="Calibri" w:hAnsi="Arial" w:cs="Arial"/>
          <w:b/>
          <w:bCs/>
          <w:sz w:val="22"/>
          <w:szCs w:val="22"/>
          <w:lang w:val="hr-HR" w:eastAsia="en-US"/>
        </w:rPr>
      </w:pPr>
      <w:r w:rsidRPr="004E4B06">
        <w:rPr>
          <w:rFonts w:ascii="Arial" w:eastAsia="Calibri" w:hAnsi="Arial" w:cs="Arial"/>
          <w:b/>
          <w:bCs/>
          <w:sz w:val="22"/>
          <w:szCs w:val="22"/>
          <w:lang w:val="hr-HR" w:eastAsia="en-US"/>
        </w:rPr>
        <w:t>FINANCIJSKA SREDSTVA POTREBNA ZA PROVEDBU AKTA</w:t>
      </w:r>
    </w:p>
    <w:p w14:paraId="2C0A8A5D" w14:textId="77777777" w:rsidR="004E4B06" w:rsidRPr="004E4B06" w:rsidRDefault="004E4B06" w:rsidP="004E4B06">
      <w:pPr>
        <w:spacing w:after="160" w:line="259" w:lineRule="auto"/>
        <w:rPr>
          <w:rFonts w:ascii="Arial" w:eastAsia="Calibri" w:hAnsi="Arial" w:cs="Arial"/>
          <w:b/>
          <w:sz w:val="22"/>
          <w:szCs w:val="22"/>
          <w:lang w:val="hr-HR" w:eastAsia="en-US"/>
        </w:rPr>
      </w:pPr>
      <w:r w:rsidRPr="004E4B06">
        <w:rPr>
          <w:rFonts w:ascii="Arial" w:eastAsia="Calibri" w:hAnsi="Arial" w:cs="Arial"/>
          <w:sz w:val="22"/>
          <w:szCs w:val="22"/>
          <w:lang w:val="hr-HR" w:eastAsia="en-US"/>
        </w:rPr>
        <w:t>Za realizaciju ove odluke nisu potrebna financijska sredstva.</w:t>
      </w:r>
    </w:p>
    <w:p w14:paraId="2B6AE8A1" w14:textId="77777777" w:rsidR="004E4B06" w:rsidRPr="004E4B06" w:rsidRDefault="004E4B06" w:rsidP="004E4B06">
      <w:pPr>
        <w:spacing w:after="160" w:line="259" w:lineRule="auto"/>
        <w:rPr>
          <w:rFonts w:ascii="Arial" w:eastAsia="Calibri" w:hAnsi="Arial" w:cs="Arial"/>
          <w:b/>
          <w:bCs/>
          <w:sz w:val="22"/>
          <w:szCs w:val="22"/>
          <w:lang w:val="hr-HR" w:eastAsia="en-US"/>
        </w:rPr>
      </w:pPr>
      <w:r w:rsidRPr="004E4B06">
        <w:rPr>
          <w:rFonts w:ascii="Arial" w:eastAsia="Calibri" w:hAnsi="Arial" w:cs="Arial"/>
          <w:b/>
          <w:bCs/>
          <w:sz w:val="22"/>
          <w:szCs w:val="22"/>
          <w:lang w:val="hr-HR" w:eastAsia="en-US"/>
        </w:rPr>
        <w:t>PRILOZI</w:t>
      </w:r>
    </w:p>
    <w:p w14:paraId="7F74B369" w14:textId="287E48FA" w:rsidR="00016C64" w:rsidRPr="004E4B06" w:rsidRDefault="00016C64" w:rsidP="00016C64">
      <w:pPr>
        <w:pStyle w:val="Odlomakpopisa"/>
        <w:numPr>
          <w:ilvl w:val="0"/>
          <w:numId w:val="4"/>
        </w:numPr>
        <w:rPr>
          <w:rFonts w:ascii="Arial" w:eastAsia="Calibri" w:hAnsi="Arial" w:cs="Arial"/>
          <w:bCs/>
          <w:sz w:val="22"/>
          <w:szCs w:val="22"/>
          <w:lang w:val="hr-HR" w:eastAsia="en-US"/>
        </w:rPr>
      </w:pPr>
      <w:r w:rsidRPr="004E4B06">
        <w:rPr>
          <w:rFonts w:ascii="Arial" w:eastAsia="Calibri" w:hAnsi="Arial" w:cs="Arial"/>
          <w:bCs/>
          <w:sz w:val="22"/>
          <w:szCs w:val="22"/>
          <w:lang w:val="hr-HR" w:eastAsia="en-US"/>
        </w:rPr>
        <w:t>Izvješće o provedenom savjetovanju sa zainteresiranom javnošću</w:t>
      </w:r>
    </w:p>
    <w:p w14:paraId="76F3CE69" w14:textId="77777777" w:rsidR="00016C64" w:rsidRPr="004E4B06" w:rsidRDefault="00016C64" w:rsidP="00016C64">
      <w:pPr>
        <w:pStyle w:val="Odlomakpopisa"/>
        <w:rPr>
          <w:rFonts w:ascii="Arial" w:eastAsia="Calibri" w:hAnsi="Arial" w:cs="Arial"/>
          <w:b/>
          <w:bCs/>
          <w:sz w:val="22"/>
          <w:szCs w:val="22"/>
          <w:lang w:val="hr-HR" w:eastAsia="en-US"/>
        </w:rPr>
      </w:pPr>
    </w:p>
    <w:p w14:paraId="64865AA0" w14:textId="77777777" w:rsidR="00691124" w:rsidRPr="005F0AA8" w:rsidRDefault="00691124" w:rsidP="00691124">
      <w:pPr>
        <w:rPr>
          <w:rFonts w:ascii="Arial" w:eastAsia="Calibri" w:hAnsi="Arial" w:cs="Arial"/>
          <w:b/>
          <w:bCs/>
          <w:sz w:val="22"/>
          <w:szCs w:val="22"/>
          <w:lang w:val="hr-HR" w:eastAsia="en-US"/>
        </w:rPr>
      </w:pPr>
    </w:p>
    <w:p w14:paraId="6B5E94B2" w14:textId="77777777" w:rsidR="007F7B1E" w:rsidRPr="005F0AA8" w:rsidRDefault="007F7B1E" w:rsidP="007F7B1E">
      <w:pPr>
        <w:pStyle w:val="Tijeloteksta-uvlaka3"/>
        <w:tabs>
          <w:tab w:val="center" w:pos="6521"/>
        </w:tabs>
        <w:ind w:left="5103" w:firstLine="0"/>
        <w:jc w:val="center"/>
        <w:rPr>
          <w:rFonts w:ascii="Arial" w:hAnsi="Arial" w:cs="Arial"/>
          <w:sz w:val="22"/>
          <w:szCs w:val="22"/>
        </w:rPr>
      </w:pPr>
      <w:r w:rsidRPr="005F0AA8">
        <w:rPr>
          <w:rFonts w:ascii="Arial" w:hAnsi="Arial" w:cs="Arial"/>
          <w:sz w:val="22"/>
          <w:szCs w:val="22"/>
        </w:rPr>
        <w:t>Gradonačelnik</w:t>
      </w:r>
    </w:p>
    <w:p w14:paraId="267B706B" w14:textId="77777777" w:rsidR="007F7B1E" w:rsidRPr="005F0AA8" w:rsidRDefault="007F7B1E" w:rsidP="007F7B1E">
      <w:pPr>
        <w:pStyle w:val="Tijeloteksta-uvlaka3"/>
        <w:tabs>
          <w:tab w:val="center" w:pos="6521"/>
        </w:tabs>
        <w:ind w:left="5103" w:firstLine="0"/>
        <w:jc w:val="center"/>
        <w:rPr>
          <w:rFonts w:ascii="Arial" w:hAnsi="Arial" w:cs="Arial"/>
          <w:sz w:val="22"/>
          <w:szCs w:val="22"/>
        </w:rPr>
      </w:pPr>
      <w:r w:rsidRPr="005F0AA8">
        <w:rPr>
          <w:rFonts w:ascii="Arial" w:hAnsi="Arial" w:cs="Arial"/>
          <w:sz w:val="22"/>
          <w:szCs w:val="22"/>
        </w:rPr>
        <w:t>Dalibor Čandrlić, mag.ing.pp.bs.</w:t>
      </w:r>
    </w:p>
    <w:p w14:paraId="251275B5" w14:textId="77777777" w:rsidR="00C261E1" w:rsidRPr="005F0AA8" w:rsidRDefault="00C261E1" w:rsidP="00B44F3E">
      <w:pPr>
        <w:jc w:val="both"/>
        <w:rPr>
          <w:rFonts w:ascii="Arial" w:hAnsi="Arial" w:cs="Arial"/>
          <w:sz w:val="22"/>
          <w:szCs w:val="22"/>
          <w:lang w:val="hr-HR"/>
        </w:rPr>
      </w:pPr>
    </w:p>
    <w:p w14:paraId="6BCC09ED" w14:textId="16363BB5" w:rsidR="00D45322" w:rsidRPr="005F0AA8" w:rsidRDefault="00D45322" w:rsidP="00B44F3E">
      <w:pPr>
        <w:jc w:val="both"/>
        <w:rPr>
          <w:rFonts w:ascii="Arial" w:hAnsi="Arial" w:cs="Arial"/>
          <w:sz w:val="22"/>
          <w:szCs w:val="22"/>
          <w:lang w:val="hr-HR"/>
        </w:rPr>
      </w:pPr>
    </w:p>
    <w:sectPr w:rsidR="00D45322" w:rsidRPr="005F0AA8" w:rsidSect="002C0CD5">
      <w:footerReference w:type="default" r:id="rId9"/>
      <w:pgSz w:w="11906" w:h="16838"/>
      <w:pgMar w:top="1135" w:right="1417" w:bottom="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8CC87" w14:textId="77777777" w:rsidR="00277797" w:rsidRDefault="00277797" w:rsidP="005E2CB7">
      <w:r>
        <w:separator/>
      </w:r>
    </w:p>
  </w:endnote>
  <w:endnote w:type="continuationSeparator" w:id="0">
    <w:p w14:paraId="06F271A0" w14:textId="77777777" w:rsidR="00277797" w:rsidRDefault="00277797" w:rsidP="005E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 Arial">
    <w:altName w:val="Courier New"/>
    <w:charset w:val="00"/>
    <w:family w:val="swiss"/>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659C5" w14:textId="77777777" w:rsidR="005E2CB7" w:rsidRDefault="005E2CB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8DC9C" w14:textId="77777777" w:rsidR="00277797" w:rsidRDefault="00277797" w:rsidP="005E2CB7">
      <w:r>
        <w:separator/>
      </w:r>
    </w:p>
  </w:footnote>
  <w:footnote w:type="continuationSeparator" w:id="0">
    <w:p w14:paraId="3AC26EC9" w14:textId="77777777" w:rsidR="00277797" w:rsidRDefault="00277797" w:rsidP="005E2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137DAF"/>
    <w:multiLevelType w:val="hybridMultilevel"/>
    <w:tmpl w:val="E3A242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C9E42F7"/>
    <w:multiLevelType w:val="hybridMultilevel"/>
    <w:tmpl w:val="710EBA94"/>
    <w:lvl w:ilvl="0" w:tplc="11FC3E44">
      <w:start w:val="1"/>
      <w:numFmt w:val="bullet"/>
      <w:lvlText w:val="-"/>
      <w:lvlJc w:val="left"/>
      <w:pPr>
        <w:ind w:left="360" w:hanging="360"/>
      </w:pPr>
      <w:rPr>
        <w:rFonts w:ascii="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 w15:restartNumberingAfterBreak="0">
    <w:nsid w:val="77246458"/>
    <w:multiLevelType w:val="hybridMultilevel"/>
    <w:tmpl w:val="F350D6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F3E"/>
    <w:rsid w:val="00002F4F"/>
    <w:rsid w:val="00005BF5"/>
    <w:rsid w:val="00016C64"/>
    <w:rsid w:val="00024018"/>
    <w:rsid w:val="00034025"/>
    <w:rsid w:val="00092C8B"/>
    <w:rsid w:val="000B1494"/>
    <w:rsid w:val="000B1A91"/>
    <w:rsid w:val="000D0266"/>
    <w:rsid w:val="000F1ED1"/>
    <w:rsid w:val="000F3DFF"/>
    <w:rsid w:val="00136098"/>
    <w:rsid w:val="00137B50"/>
    <w:rsid w:val="0016044B"/>
    <w:rsid w:val="00180DB8"/>
    <w:rsid w:val="001B3994"/>
    <w:rsid w:val="001B65B7"/>
    <w:rsid w:val="001C12F1"/>
    <w:rsid w:val="001C506A"/>
    <w:rsid w:val="001C55B5"/>
    <w:rsid w:val="001D3808"/>
    <w:rsid w:val="001D41D2"/>
    <w:rsid w:val="001D6879"/>
    <w:rsid w:val="001F5B3A"/>
    <w:rsid w:val="00202268"/>
    <w:rsid w:val="0021094A"/>
    <w:rsid w:val="00212286"/>
    <w:rsid w:val="00213106"/>
    <w:rsid w:val="00237F83"/>
    <w:rsid w:val="00261388"/>
    <w:rsid w:val="00277797"/>
    <w:rsid w:val="0028172C"/>
    <w:rsid w:val="002B695E"/>
    <w:rsid w:val="002C0CD5"/>
    <w:rsid w:val="002E25D1"/>
    <w:rsid w:val="00321662"/>
    <w:rsid w:val="00372599"/>
    <w:rsid w:val="003731AD"/>
    <w:rsid w:val="00374C8C"/>
    <w:rsid w:val="00384929"/>
    <w:rsid w:val="003E23FB"/>
    <w:rsid w:val="003F2191"/>
    <w:rsid w:val="00402428"/>
    <w:rsid w:val="00410856"/>
    <w:rsid w:val="00411AA6"/>
    <w:rsid w:val="00425B5C"/>
    <w:rsid w:val="0043277A"/>
    <w:rsid w:val="004346CC"/>
    <w:rsid w:val="00436056"/>
    <w:rsid w:val="00452DEF"/>
    <w:rsid w:val="00456DBB"/>
    <w:rsid w:val="00477E4F"/>
    <w:rsid w:val="00493B3A"/>
    <w:rsid w:val="004A2F38"/>
    <w:rsid w:val="004A54CA"/>
    <w:rsid w:val="004E0793"/>
    <w:rsid w:val="004E3284"/>
    <w:rsid w:val="004E4B06"/>
    <w:rsid w:val="00506B3C"/>
    <w:rsid w:val="00511313"/>
    <w:rsid w:val="00560B69"/>
    <w:rsid w:val="005731F7"/>
    <w:rsid w:val="005865A2"/>
    <w:rsid w:val="005A2317"/>
    <w:rsid w:val="005A44C9"/>
    <w:rsid w:val="005A591C"/>
    <w:rsid w:val="005E2CB7"/>
    <w:rsid w:val="005F0AA8"/>
    <w:rsid w:val="0062260D"/>
    <w:rsid w:val="00641EDA"/>
    <w:rsid w:val="00686DB1"/>
    <w:rsid w:val="00687291"/>
    <w:rsid w:val="00691124"/>
    <w:rsid w:val="006957A4"/>
    <w:rsid w:val="006B2870"/>
    <w:rsid w:val="006F67A0"/>
    <w:rsid w:val="00701C7F"/>
    <w:rsid w:val="00741B90"/>
    <w:rsid w:val="00746228"/>
    <w:rsid w:val="00750D01"/>
    <w:rsid w:val="00752C64"/>
    <w:rsid w:val="00776FB5"/>
    <w:rsid w:val="007A2CE5"/>
    <w:rsid w:val="007B4FD0"/>
    <w:rsid w:val="007C4F89"/>
    <w:rsid w:val="007E436C"/>
    <w:rsid w:val="007F25AE"/>
    <w:rsid w:val="007F7B1E"/>
    <w:rsid w:val="00800C02"/>
    <w:rsid w:val="00810B3C"/>
    <w:rsid w:val="00814E67"/>
    <w:rsid w:val="00830049"/>
    <w:rsid w:val="00860E10"/>
    <w:rsid w:val="008649B7"/>
    <w:rsid w:val="00872BA2"/>
    <w:rsid w:val="00873F18"/>
    <w:rsid w:val="00883066"/>
    <w:rsid w:val="00884DD9"/>
    <w:rsid w:val="0089308F"/>
    <w:rsid w:val="008A257C"/>
    <w:rsid w:val="008A575E"/>
    <w:rsid w:val="008B4F52"/>
    <w:rsid w:val="008F284E"/>
    <w:rsid w:val="0091270F"/>
    <w:rsid w:val="00971A60"/>
    <w:rsid w:val="009760CC"/>
    <w:rsid w:val="009D212C"/>
    <w:rsid w:val="009D589A"/>
    <w:rsid w:val="009D7A85"/>
    <w:rsid w:val="009F7B97"/>
    <w:rsid w:val="00A12EBB"/>
    <w:rsid w:val="00A16C6C"/>
    <w:rsid w:val="00A17EDF"/>
    <w:rsid w:val="00A44E88"/>
    <w:rsid w:val="00A55625"/>
    <w:rsid w:val="00A64C32"/>
    <w:rsid w:val="00A91C43"/>
    <w:rsid w:val="00AF2730"/>
    <w:rsid w:val="00B44F3E"/>
    <w:rsid w:val="00B95A8A"/>
    <w:rsid w:val="00BB39ED"/>
    <w:rsid w:val="00C05C23"/>
    <w:rsid w:val="00C1030C"/>
    <w:rsid w:val="00C261E1"/>
    <w:rsid w:val="00C425F9"/>
    <w:rsid w:val="00C6522B"/>
    <w:rsid w:val="00C65A9F"/>
    <w:rsid w:val="00C7141A"/>
    <w:rsid w:val="00C85DB9"/>
    <w:rsid w:val="00CC0D79"/>
    <w:rsid w:val="00CF1CCB"/>
    <w:rsid w:val="00CF1D4B"/>
    <w:rsid w:val="00CF47D5"/>
    <w:rsid w:val="00D043A9"/>
    <w:rsid w:val="00D16F5D"/>
    <w:rsid w:val="00D3531A"/>
    <w:rsid w:val="00D45322"/>
    <w:rsid w:val="00D4568F"/>
    <w:rsid w:val="00D8461C"/>
    <w:rsid w:val="00D901AB"/>
    <w:rsid w:val="00D92F92"/>
    <w:rsid w:val="00DA10AC"/>
    <w:rsid w:val="00DA6615"/>
    <w:rsid w:val="00DC2F13"/>
    <w:rsid w:val="00DC7384"/>
    <w:rsid w:val="00DD7799"/>
    <w:rsid w:val="00DF0588"/>
    <w:rsid w:val="00E02DFA"/>
    <w:rsid w:val="00E73513"/>
    <w:rsid w:val="00EB293A"/>
    <w:rsid w:val="00EC0E33"/>
    <w:rsid w:val="00ED4BF5"/>
    <w:rsid w:val="00EF1E14"/>
    <w:rsid w:val="00EF3E50"/>
    <w:rsid w:val="00F13ABB"/>
    <w:rsid w:val="00F25CAA"/>
    <w:rsid w:val="00F4126C"/>
    <w:rsid w:val="00F42FD3"/>
    <w:rsid w:val="00F4660F"/>
    <w:rsid w:val="00F6479D"/>
    <w:rsid w:val="00F86C51"/>
    <w:rsid w:val="00F945EF"/>
    <w:rsid w:val="00FB0231"/>
    <w:rsid w:val="00FD1ACB"/>
    <w:rsid w:val="00FD538A"/>
    <w:rsid w:val="00FF11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C412"/>
  <w15:docId w15:val="{F359F975-4D66-4633-8051-89205573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F13"/>
    <w:pPr>
      <w:spacing w:after="0" w:line="240" w:lineRule="auto"/>
    </w:pPr>
    <w:rPr>
      <w:rFonts w:ascii="Times New Roman" w:eastAsia="Times New Roman" w:hAnsi="Times New Roman" w:cs="Times New Roman"/>
      <w:sz w:val="20"/>
      <w:szCs w:val="20"/>
      <w:lang w:val="en-GB" w:eastAsia="hr-HR"/>
    </w:rPr>
  </w:style>
  <w:style w:type="paragraph" w:styleId="Naslov1">
    <w:name w:val="heading 1"/>
    <w:basedOn w:val="Normal"/>
    <w:next w:val="Normal"/>
    <w:link w:val="Naslov1Char"/>
    <w:qFormat/>
    <w:rsid w:val="00B44F3E"/>
    <w:pPr>
      <w:keepNext/>
      <w:jc w:val="center"/>
      <w:outlineLvl w:val="0"/>
    </w:pPr>
    <w:rPr>
      <w:rFonts w:ascii="HR Arial" w:hAnsi="HR Arial"/>
      <w:b/>
      <w:color w:val="000080"/>
      <w:sz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B44F3E"/>
    <w:rPr>
      <w:rFonts w:ascii="HR Arial" w:eastAsia="Times New Roman" w:hAnsi="HR Arial" w:cs="Times New Roman"/>
      <w:b/>
      <w:color w:val="000080"/>
      <w:szCs w:val="20"/>
      <w:lang w:val="en-GB"/>
    </w:rPr>
  </w:style>
  <w:style w:type="table" w:styleId="Reetkatablice">
    <w:name w:val="Table Grid"/>
    <w:basedOn w:val="Obinatablica"/>
    <w:rsid w:val="00B44F3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21094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1094A"/>
    <w:rPr>
      <w:rFonts w:ascii="Segoe UI" w:eastAsia="Times New Roman" w:hAnsi="Segoe UI" w:cs="Segoe UI"/>
      <w:sz w:val="18"/>
      <w:szCs w:val="18"/>
      <w:lang w:val="en-GB" w:eastAsia="hr-HR"/>
    </w:rPr>
  </w:style>
  <w:style w:type="paragraph" w:styleId="Tijeloteksta-uvlaka3">
    <w:name w:val="Body Text Indent 3"/>
    <w:basedOn w:val="Normal"/>
    <w:link w:val="Tijeloteksta-uvlaka3Char"/>
    <w:uiPriority w:val="99"/>
    <w:semiHidden/>
    <w:unhideWhenUsed/>
    <w:rsid w:val="007F7B1E"/>
    <w:pPr>
      <w:ind w:firstLine="720"/>
    </w:pPr>
    <w:rPr>
      <w:sz w:val="24"/>
      <w:lang w:val="hr-HR" w:eastAsia="en-US"/>
    </w:rPr>
  </w:style>
  <w:style w:type="character" w:customStyle="1" w:styleId="Tijeloteksta-uvlaka3Char">
    <w:name w:val="Tijelo teksta - uvlaka 3 Char"/>
    <w:basedOn w:val="Zadanifontodlomka"/>
    <w:link w:val="Tijeloteksta-uvlaka3"/>
    <w:uiPriority w:val="99"/>
    <w:semiHidden/>
    <w:rsid w:val="007F7B1E"/>
    <w:rPr>
      <w:rFonts w:ascii="Times New Roman" w:eastAsia="Times New Roman" w:hAnsi="Times New Roman" w:cs="Times New Roman"/>
      <w:sz w:val="24"/>
      <w:szCs w:val="20"/>
    </w:rPr>
  </w:style>
  <w:style w:type="paragraph" w:styleId="Zaglavlje">
    <w:name w:val="header"/>
    <w:basedOn w:val="Normal"/>
    <w:link w:val="ZaglavljeChar"/>
    <w:uiPriority w:val="99"/>
    <w:unhideWhenUsed/>
    <w:rsid w:val="005E2CB7"/>
    <w:pPr>
      <w:tabs>
        <w:tab w:val="center" w:pos="4536"/>
        <w:tab w:val="right" w:pos="9072"/>
      </w:tabs>
    </w:pPr>
  </w:style>
  <w:style w:type="character" w:customStyle="1" w:styleId="ZaglavljeChar">
    <w:name w:val="Zaglavlje Char"/>
    <w:basedOn w:val="Zadanifontodlomka"/>
    <w:link w:val="Zaglavlje"/>
    <w:uiPriority w:val="99"/>
    <w:rsid w:val="005E2CB7"/>
    <w:rPr>
      <w:rFonts w:ascii="Times New Roman" w:eastAsia="Times New Roman" w:hAnsi="Times New Roman" w:cs="Times New Roman"/>
      <w:sz w:val="20"/>
      <w:szCs w:val="20"/>
      <w:lang w:val="en-GB" w:eastAsia="hr-HR"/>
    </w:rPr>
  </w:style>
  <w:style w:type="paragraph" w:styleId="Podnoje">
    <w:name w:val="footer"/>
    <w:basedOn w:val="Normal"/>
    <w:link w:val="PodnojeChar"/>
    <w:uiPriority w:val="99"/>
    <w:unhideWhenUsed/>
    <w:rsid w:val="005E2CB7"/>
    <w:pPr>
      <w:tabs>
        <w:tab w:val="center" w:pos="4536"/>
        <w:tab w:val="right" w:pos="9072"/>
      </w:tabs>
    </w:pPr>
  </w:style>
  <w:style w:type="character" w:customStyle="1" w:styleId="PodnojeChar">
    <w:name w:val="Podnožje Char"/>
    <w:basedOn w:val="Zadanifontodlomka"/>
    <w:link w:val="Podnoje"/>
    <w:uiPriority w:val="99"/>
    <w:rsid w:val="005E2CB7"/>
    <w:rPr>
      <w:rFonts w:ascii="Times New Roman" w:eastAsia="Times New Roman" w:hAnsi="Times New Roman" w:cs="Times New Roman"/>
      <w:sz w:val="20"/>
      <w:szCs w:val="20"/>
      <w:lang w:val="en-GB" w:eastAsia="hr-HR"/>
    </w:rPr>
  </w:style>
  <w:style w:type="paragraph" w:styleId="StandardWeb">
    <w:name w:val="Normal (Web)"/>
    <w:basedOn w:val="Normal"/>
    <w:uiPriority w:val="99"/>
    <w:semiHidden/>
    <w:unhideWhenUsed/>
    <w:rsid w:val="00DC2F13"/>
    <w:rPr>
      <w:sz w:val="24"/>
      <w:szCs w:val="24"/>
    </w:rPr>
  </w:style>
  <w:style w:type="paragraph" w:styleId="Odlomakpopisa">
    <w:name w:val="List Paragraph"/>
    <w:basedOn w:val="Normal"/>
    <w:uiPriority w:val="34"/>
    <w:qFormat/>
    <w:rsid w:val="00016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7139">
      <w:bodyDiv w:val="1"/>
      <w:marLeft w:val="0"/>
      <w:marRight w:val="0"/>
      <w:marTop w:val="0"/>
      <w:marBottom w:val="0"/>
      <w:divBdr>
        <w:top w:val="none" w:sz="0" w:space="0" w:color="auto"/>
        <w:left w:val="none" w:sz="0" w:space="0" w:color="auto"/>
        <w:bottom w:val="none" w:sz="0" w:space="0" w:color="auto"/>
        <w:right w:val="none" w:sz="0" w:space="0" w:color="auto"/>
      </w:divBdr>
    </w:div>
    <w:div w:id="352270513">
      <w:bodyDiv w:val="1"/>
      <w:marLeft w:val="0"/>
      <w:marRight w:val="0"/>
      <w:marTop w:val="0"/>
      <w:marBottom w:val="0"/>
      <w:divBdr>
        <w:top w:val="none" w:sz="0" w:space="0" w:color="auto"/>
        <w:left w:val="none" w:sz="0" w:space="0" w:color="auto"/>
        <w:bottom w:val="none" w:sz="0" w:space="0" w:color="auto"/>
        <w:right w:val="none" w:sz="0" w:space="0" w:color="auto"/>
      </w:divBdr>
    </w:div>
    <w:div w:id="511800501">
      <w:bodyDiv w:val="1"/>
      <w:marLeft w:val="0"/>
      <w:marRight w:val="0"/>
      <w:marTop w:val="0"/>
      <w:marBottom w:val="0"/>
      <w:divBdr>
        <w:top w:val="none" w:sz="0" w:space="0" w:color="auto"/>
        <w:left w:val="none" w:sz="0" w:space="0" w:color="auto"/>
        <w:bottom w:val="none" w:sz="0" w:space="0" w:color="auto"/>
        <w:right w:val="none" w:sz="0" w:space="0" w:color="auto"/>
      </w:divBdr>
    </w:div>
    <w:div w:id="599261706">
      <w:bodyDiv w:val="1"/>
      <w:marLeft w:val="0"/>
      <w:marRight w:val="0"/>
      <w:marTop w:val="0"/>
      <w:marBottom w:val="0"/>
      <w:divBdr>
        <w:top w:val="none" w:sz="0" w:space="0" w:color="auto"/>
        <w:left w:val="none" w:sz="0" w:space="0" w:color="auto"/>
        <w:bottom w:val="none" w:sz="0" w:space="0" w:color="auto"/>
        <w:right w:val="none" w:sz="0" w:space="0" w:color="auto"/>
      </w:divBdr>
    </w:div>
    <w:div w:id="814759832">
      <w:bodyDiv w:val="1"/>
      <w:marLeft w:val="0"/>
      <w:marRight w:val="0"/>
      <w:marTop w:val="0"/>
      <w:marBottom w:val="0"/>
      <w:divBdr>
        <w:top w:val="none" w:sz="0" w:space="0" w:color="auto"/>
        <w:left w:val="none" w:sz="0" w:space="0" w:color="auto"/>
        <w:bottom w:val="none" w:sz="0" w:space="0" w:color="auto"/>
        <w:right w:val="none" w:sz="0" w:space="0" w:color="auto"/>
      </w:divBdr>
    </w:div>
    <w:div w:id="953169960">
      <w:bodyDiv w:val="1"/>
      <w:marLeft w:val="0"/>
      <w:marRight w:val="0"/>
      <w:marTop w:val="0"/>
      <w:marBottom w:val="0"/>
      <w:divBdr>
        <w:top w:val="none" w:sz="0" w:space="0" w:color="auto"/>
        <w:left w:val="none" w:sz="0" w:space="0" w:color="auto"/>
        <w:bottom w:val="none" w:sz="0" w:space="0" w:color="auto"/>
        <w:right w:val="none" w:sz="0" w:space="0" w:color="auto"/>
      </w:divBdr>
    </w:div>
    <w:div w:id="1135490973">
      <w:bodyDiv w:val="1"/>
      <w:marLeft w:val="0"/>
      <w:marRight w:val="0"/>
      <w:marTop w:val="0"/>
      <w:marBottom w:val="0"/>
      <w:divBdr>
        <w:top w:val="none" w:sz="0" w:space="0" w:color="auto"/>
        <w:left w:val="none" w:sz="0" w:space="0" w:color="auto"/>
        <w:bottom w:val="none" w:sz="0" w:space="0" w:color="auto"/>
        <w:right w:val="none" w:sz="0" w:space="0" w:color="auto"/>
      </w:divBdr>
    </w:div>
    <w:div w:id="1398019657">
      <w:bodyDiv w:val="1"/>
      <w:marLeft w:val="0"/>
      <w:marRight w:val="0"/>
      <w:marTop w:val="0"/>
      <w:marBottom w:val="0"/>
      <w:divBdr>
        <w:top w:val="none" w:sz="0" w:space="0" w:color="auto"/>
        <w:left w:val="none" w:sz="0" w:space="0" w:color="auto"/>
        <w:bottom w:val="none" w:sz="0" w:space="0" w:color="auto"/>
        <w:right w:val="none" w:sz="0" w:space="0" w:color="auto"/>
      </w:divBdr>
    </w:div>
    <w:div w:id="1550189804">
      <w:bodyDiv w:val="1"/>
      <w:marLeft w:val="0"/>
      <w:marRight w:val="0"/>
      <w:marTop w:val="0"/>
      <w:marBottom w:val="0"/>
      <w:divBdr>
        <w:top w:val="none" w:sz="0" w:space="0" w:color="auto"/>
        <w:left w:val="none" w:sz="0" w:space="0" w:color="auto"/>
        <w:bottom w:val="none" w:sz="0" w:space="0" w:color="auto"/>
        <w:right w:val="none" w:sz="0" w:space="0" w:color="auto"/>
      </w:divBdr>
    </w:div>
    <w:div w:id="1585720596">
      <w:bodyDiv w:val="1"/>
      <w:marLeft w:val="0"/>
      <w:marRight w:val="0"/>
      <w:marTop w:val="0"/>
      <w:marBottom w:val="0"/>
      <w:divBdr>
        <w:top w:val="none" w:sz="0" w:space="0" w:color="auto"/>
        <w:left w:val="none" w:sz="0" w:space="0" w:color="auto"/>
        <w:bottom w:val="none" w:sz="0" w:space="0" w:color="auto"/>
        <w:right w:val="none" w:sz="0" w:space="0" w:color="auto"/>
      </w:divBdr>
    </w:div>
    <w:div w:id="1708872372">
      <w:bodyDiv w:val="1"/>
      <w:marLeft w:val="0"/>
      <w:marRight w:val="0"/>
      <w:marTop w:val="0"/>
      <w:marBottom w:val="0"/>
      <w:divBdr>
        <w:top w:val="none" w:sz="0" w:space="0" w:color="auto"/>
        <w:left w:val="none" w:sz="0" w:space="0" w:color="auto"/>
        <w:bottom w:val="none" w:sz="0" w:space="0" w:color="auto"/>
        <w:right w:val="none" w:sz="0" w:space="0" w:color="auto"/>
      </w:divBdr>
    </w:div>
    <w:div w:id="181437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80626-A2FA-4704-8DA7-B55A7B91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Pages>
  <Words>691</Words>
  <Characters>3942</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kralj</cp:lastModifiedBy>
  <cp:revision>57</cp:revision>
  <cp:lastPrinted>2021-12-06T13:56:00Z</cp:lastPrinted>
  <dcterms:created xsi:type="dcterms:W3CDTF">2019-11-12T15:19:00Z</dcterms:created>
  <dcterms:modified xsi:type="dcterms:W3CDTF">2022-01-18T16:15:00Z</dcterms:modified>
</cp:coreProperties>
</file>